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AA" w:rsidRDefault="00C01C76">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141CAA" w:rsidRDefault="00141CAA">
      <w:pPr>
        <w:spacing w:line="560" w:lineRule="exact"/>
        <w:rPr>
          <w:rFonts w:ascii="黑体" w:eastAsia="黑体" w:hAnsi="黑体" w:cs="黑体"/>
          <w:sz w:val="32"/>
          <w:szCs w:val="32"/>
        </w:rPr>
      </w:pPr>
    </w:p>
    <w:p w:rsidR="00141CAA" w:rsidRDefault="00C01C7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养老机构重大风险隐患检查指标及整治建议</w:t>
      </w:r>
    </w:p>
    <w:tbl>
      <w:tblPr>
        <w:tblpPr w:leftFromText="181" w:rightFromText="181" w:vertAnchor="text" w:horzAnchor="page" w:tblpXSpec="center" w:tblpY="568"/>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965"/>
        <w:gridCol w:w="3315"/>
        <w:gridCol w:w="3080"/>
      </w:tblGrid>
      <w:tr w:rsidR="00141CAA">
        <w:trPr>
          <w:trHeight w:val="312"/>
          <w:jc w:val="center"/>
        </w:trPr>
        <w:tc>
          <w:tcPr>
            <w:tcW w:w="700" w:type="dxa"/>
            <w:vAlign w:val="center"/>
          </w:tcPr>
          <w:p w:rsidR="00141CAA" w:rsidRDefault="00C01C76">
            <w:pPr>
              <w:jc w:val="center"/>
              <w:rPr>
                <w:b/>
                <w:bCs/>
                <w:sz w:val="24"/>
                <w:szCs w:val="24"/>
              </w:rPr>
            </w:pPr>
            <w:r>
              <w:rPr>
                <w:rFonts w:ascii="黑体" w:eastAsia="黑体" w:hAnsi="黑体" w:cs="黑体" w:hint="eastAsia"/>
                <w:color w:val="000000"/>
                <w:sz w:val="24"/>
                <w:szCs w:val="24"/>
              </w:rPr>
              <w:t>序号</w:t>
            </w:r>
          </w:p>
        </w:tc>
        <w:tc>
          <w:tcPr>
            <w:tcW w:w="2965" w:type="dxa"/>
            <w:vAlign w:val="center"/>
          </w:tcPr>
          <w:p w:rsidR="00141CAA" w:rsidRDefault="00C01C76">
            <w:pPr>
              <w:tabs>
                <w:tab w:val="left" w:pos="243"/>
              </w:tabs>
              <w:spacing w:line="360" w:lineRule="exact"/>
              <w:jc w:val="center"/>
              <w:rPr>
                <w:rFonts w:ascii="宋体" w:eastAsia="宋体" w:hAnsi="宋体" w:cs="宋体"/>
                <w:color w:val="000000"/>
                <w:szCs w:val="21"/>
              </w:rPr>
            </w:pPr>
            <w:r>
              <w:rPr>
                <w:rFonts w:ascii="宋体" w:eastAsia="宋体" w:hAnsi="宋体" w:cs="宋体" w:hint="eastAsia"/>
                <w:color w:val="000000"/>
                <w:szCs w:val="21"/>
              </w:rPr>
              <w:t>指标内容</w:t>
            </w:r>
          </w:p>
        </w:tc>
        <w:tc>
          <w:tcPr>
            <w:tcW w:w="3315" w:type="dxa"/>
            <w:vAlign w:val="center"/>
          </w:tcPr>
          <w:p w:rsidR="00141CAA" w:rsidRDefault="00C01C76">
            <w:pPr>
              <w:tabs>
                <w:tab w:val="left" w:pos="243"/>
              </w:tabs>
              <w:spacing w:line="360" w:lineRule="exact"/>
              <w:jc w:val="center"/>
              <w:rPr>
                <w:rFonts w:ascii="宋体" w:eastAsia="宋体" w:hAnsi="宋体" w:cs="宋体"/>
                <w:color w:val="000000"/>
                <w:szCs w:val="21"/>
              </w:rPr>
            </w:pPr>
            <w:r>
              <w:rPr>
                <w:rFonts w:ascii="宋体" w:eastAsia="宋体" w:hAnsi="宋体" w:cs="宋体" w:hint="eastAsia"/>
                <w:color w:val="000000"/>
                <w:szCs w:val="21"/>
              </w:rPr>
              <w:t>检查细则</w:t>
            </w:r>
          </w:p>
        </w:tc>
        <w:tc>
          <w:tcPr>
            <w:tcW w:w="3080" w:type="dxa"/>
            <w:tcBorders>
              <w:right w:val="single" w:sz="4" w:space="0" w:color="auto"/>
            </w:tcBorders>
            <w:vAlign w:val="center"/>
          </w:tcPr>
          <w:p w:rsidR="00141CAA" w:rsidRDefault="00C01C76">
            <w:pPr>
              <w:tabs>
                <w:tab w:val="left" w:pos="243"/>
              </w:tabs>
              <w:spacing w:line="360" w:lineRule="exact"/>
              <w:jc w:val="center"/>
              <w:rPr>
                <w:rFonts w:ascii="宋体" w:eastAsia="宋体" w:hAnsi="宋体" w:cs="宋体"/>
                <w:szCs w:val="21"/>
              </w:rPr>
            </w:pPr>
            <w:r>
              <w:rPr>
                <w:rFonts w:ascii="宋体" w:eastAsia="宋体" w:hAnsi="宋体" w:cs="宋体" w:hint="eastAsia"/>
                <w:color w:val="000000"/>
                <w:szCs w:val="21"/>
              </w:rPr>
              <w:t>不符合指标的整治建议</w:t>
            </w:r>
          </w:p>
        </w:tc>
      </w:tr>
      <w:tr w:rsidR="00141CAA">
        <w:trPr>
          <w:trHeight w:val="199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提供餐饮服务的养老院，应当依法办理《食品经营许可证》</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自主提供餐饮服务的，不具备许可证或许可证过期的为不符合；委托餐饮服务企业提供餐饮服务的，签订了协议，服务企业具备有效许可证，为符合。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依据市场监管部门意见</w:t>
            </w:r>
            <w:r>
              <w:rPr>
                <w:rFonts w:ascii="宋体" w:eastAsia="宋体" w:hAnsi="宋体" w:cs="宋体" w:hint="eastAsia"/>
                <w:szCs w:val="21"/>
              </w:rPr>
              <w:t>整治。</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受委托餐饮服务企业不具备有效许可证的，</w:t>
            </w:r>
            <w:r>
              <w:rPr>
                <w:rFonts w:ascii="宋体" w:eastAsia="宋体" w:hAnsi="宋体" w:cs="宋体" w:hint="eastAsia"/>
                <w:szCs w:val="21"/>
              </w:rPr>
              <w:t>须</w:t>
            </w:r>
            <w:r>
              <w:rPr>
                <w:rFonts w:ascii="宋体" w:eastAsia="宋体" w:hAnsi="宋体" w:cs="宋体" w:hint="eastAsia"/>
                <w:szCs w:val="21"/>
              </w:rPr>
              <w:t>更换有资质企业。</w:t>
            </w:r>
          </w:p>
        </w:tc>
      </w:tr>
      <w:tr w:rsidR="00141CAA">
        <w:trPr>
          <w:trHeight w:val="92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如有内设医疗机构，应取得医疗机构执业许可证</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内设医疗机构的，不具备许可证或许可证过期的，为不符合。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w:t>
            </w:r>
            <w:r>
              <w:rPr>
                <w:rFonts w:ascii="宋体" w:eastAsia="宋体" w:hAnsi="宋体" w:cs="宋体" w:hint="eastAsia"/>
                <w:szCs w:val="21"/>
              </w:rPr>
              <w:t>卫生</w:t>
            </w:r>
            <w:r>
              <w:rPr>
                <w:rFonts w:ascii="宋体" w:eastAsia="宋体" w:hAnsi="宋体" w:cs="宋体" w:hint="eastAsia"/>
                <w:szCs w:val="21"/>
              </w:rPr>
              <w:t>健康</w:t>
            </w:r>
            <w:r>
              <w:rPr>
                <w:rFonts w:ascii="宋体" w:eastAsia="宋体" w:hAnsi="宋体" w:cs="宋体" w:hint="eastAsia"/>
                <w:szCs w:val="21"/>
              </w:rPr>
              <w:t>部门意见</w:t>
            </w:r>
            <w:r>
              <w:rPr>
                <w:rFonts w:ascii="宋体" w:eastAsia="宋体" w:hAnsi="宋体" w:cs="宋体" w:hint="eastAsia"/>
                <w:szCs w:val="21"/>
              </w:rPr>
              <w:t>整治。</w:t>
            </w:r>
          </w:p>
        </w:tc>
      </w:tr>
      <w:tr w:rsidR="00141CAA">
        <w:trPr>
          <w:trHeight w:val="191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3</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养老护理员应接受岗前培训</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所有养老护理员经过专业机构或养老机构内部培训合格上岗为符合</w:t>
            </w:r>
            <w:r>
              <w:rPr>
                <w:rFonts w:ascii="宋体" w:eastAsia="宋体" w:hAnsi="宋体" w:cs="宋体" w:hint="eastAsia"/>
                <w:szCs w:val="21"/>
              </w:rPr>
              <w:t>。</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养老机构建立内部岗前培训制度</w:t>
            </w:r>
            <w:r>
              <w:rPr>
                <w:rFonts w:ascii="宋体" w:eastAsia="宋体" w:hAnsi="宋体" w:cs="宋体" w:hint="eastAsia"/>
                <w:szCs w:val="21"/>
              </w:rPr>
              <w:t>，未经岗前培训合格的</w:t>
            </w:r>
            <w:r>
              <w:rPr>
                <w:rFonts w:ascii="宋体" w:eastAsia="宋体" w:hAnsi="宋体" w:cs="宋体" w:hint="eastAsia"/>
                <w:szCs w:val="21"/>
              </w:rPr>
              <w:t>养老护理员应停止上岗</w:t>
            </w:r>
            <w:r>
              <w:rPr>
                <w:rFonts w:ascii="宋体" w:eastAsia="宋体" w:hAnsi="宋体" w:cs="宋体" w:hint="eastAsia"/>
                <w:szCs w:val="21"/>
              </w:rPr>
              <w:t>。</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民政部门通过购买服务等形式支持养老护理员培训。</w:t>
            </w:r>
          </w:p>
        </w:tc>
      </w:tr>
      <w:tr w:rsidR="00141CAA">
        <w:trPr>
          <w:trHeight w:val="114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4</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餐饮服务人员必须经体检取得健康合格证后上岗</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100%</w:t>
            </w:r>
            <w:r>
              <w:rPr>
                <w:rFonts w:ascii="宋体" w:eastAsia="宋体" w:hAnsi="宋体" w:cs="宋体" w:hint="eastAsia"/>
                <w:szCs w:val="21"/>
              </w:rPr>
              <w:t>持证上岗为符合</w:t>
            </w:r>
            <w:r>
              <w:rPr>
                <w:rFonts w:ascii="宋体" w:eastAsia="宋体" w:hAnsi="宋体" w:cs="宋体" w:hint="eastAsia"/>
                <w:szCs w:val="21"/>
              </w:rPr>
              <w:t>。</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体检不合格</w:t>
            </w:r>
            <w:r>
              <w:rPr>
                <w:rFonts w:ascii="宋体" w:eastAsia="宋体" w:hAnsi="宋体" w:cs="宋体" w:hint="eastAsia"/>
                <w:szCs w:val="21"/>
              </w:rPr>
              <w:t>或未经体检的</w:t>
            </w:r>
            <w:r>
              <w:rPr>
                <w:rFonts w:ascii="宋体" w:eastAsia="宋体" w:hAnsi="宋体" w:cs="宋体" w:hint="eastAsia"/>
                <w:szCs w:val="21"/>
              </w:rPr>
              <w:t>人员调离餐饮服务岗位。</w:t>
            </w:r>
          </w:p>
        </w:tc>
      </w:tr>
      <w:tr w:rsidR="00141CAA">
        <w:trPr>
          <w:trHeight w:val="188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5</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在养老院内开展服务的医生、护士等依法需要持证上岗的专业技术人员应持有与其岗位相适应的专业资格证书或执业证书</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如有此类人员，</w:t>
            </w:r>
            <w:r>
              <w:rPr>
                <w:rFonts w:ascii="宋体" w:eastAsia="宋体" w:hAnsi="宋体" w:cs="宋体" w:hint="eastAsia"/>
                <w:szCs w:val="21"/>
              </w:rPr>
              <w:t>100%</w:t>
            </w:r>
            <w:r>
              <w:rPr>
                <w:rFonts w:ascii="宋体" w:eastAsia="宋体" w:hAnsi="宋体" w:cs="宋体" w:hint="eastAsia"/>
                <w:szCs w:val="21"/>
              </w:rPr>
              <w:t>持证上岗为符合。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未取得与其岗位相适应的专业资格证书或执业证书的医生、护士及其他人员</w:t>
            </w:r>
            <w:r>
              <w:rPr>
                <w:rFonts w:ascii="宋体" w:eastAsia="宋体" w:hAnsi="宋体" w:cs="宋体" w:hint="eastAsia"/>
                <w:szCs w:val="21"/>
              </w:rPr>
              <w:t>应</w:t>
            </w:r>
            <w:r>
              <w:rPr>
                <w:rFonts w:ascii="宋体" w:eastAsia="宋体" w:hAnsi="宋体" w:cs="宋体" w:hint="eastAsia"/>
                <w:szCs w:val="21"/>
              </w:rPr>
              <w:t>停止相关岗位工作。</w:t>
            </w:r>
          </w:p>
        </w:tc>
      </w:tr>
      <w:tr w:rsidR="00141CAA">
        <w:trPr>
          <w:trHeight w:val="116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6</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对老年人进行入院评估，根据老年人需求特点提供服务</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有入院评估制度且已开展评估工作为部分符合，并能据此提供相应养老服务的为符合。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养老机构</w:t>
            </w:r>
            <w:r>
              <w:rPr>
                <w:rFonts w:ascii="宋体" w:eastAsia="宋体" w:hAnsi="宋体" w:cs="宋体" w:hint="eastAsia"/>
                <w:szCs w:val="21"/>
              </w:rPr>
              <w:t>依据行业标准《老年人能力评估标准》或地方相应标准建立</w:t>
            </w:r>
            <w:r>
              <w:rPr>
                <w:rFonts w:ascii="宋体" w:eastAsia="宋体" w:hAnsi="宋体" w:cs="宋体" w:hint="eastAsia"/>
                <w:szCs w:val="21"/>
              </w:rPr>
              <w:t>入院评估制度。</w:t>
            </w:r>
          </w:p>
        </w:tc>
      </w:tr>
      <w:tr w:rsidR="00141CAA">
        <w:trPr>
          <w:trHeight w:val="84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7</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无</w:t>
            </w:r>
            <w:proofErr w:type="gramStart"/>
            <w:r>
              <w:rPr>
                <w:rFonts w:ascii="宋体" w:eastAsia="宋体" w:hAnsi="宋体" w:cs="宋体" w:hint="eastAsia"/>
                <w:szCs w:val="21"/>
              </w:rPr>
              <w:t>虐</w:t>
            </w:r>
            <w:proofErr w:type="gramEnd"/>
            <w:r>
              <w:rPr>
                <w:rFonts w:ascii="宋体" w:eastAsia="宋体" w:hAnsi="宋体" w:cs="宋体" w:hint="eastAsia"/>
                <w:szCs w:val="21"/>
              </w:rPr>
              <w:t>老、欺老现象</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如有欺老、</w:t>
            </w:r>
            <w:proofErr w:type="gramStart"/>
            <w:r>
              <w:rPr>
                <w:rFonts w:ascii="宋体" w:eastAsia="宋体" w:hAnsi="宋体" w:cs="宋体" w:hint="eastAsia"/>
                <w:szCs w:val="21"/>
              </w:rPr>
              <w:t>虐</w:t>
            </w:r>
            <w:proofErr w:type="gramEnd"/>
            <w:r>
              <w:rPr>
                <w:rFonts w:ascii="宋体" w:eastAsia="宋体" w:hAnsi="宋体" w:cs="宋体" w:hint="eastAsia"/>
                <w:szCs w:val="21"/>
              </w:rPr>
              <w:t>老现象的，则不符合。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出现欺老、</w:t>
            </w:r>
            <w:proofErr w:type="gramStart"/>
            <w:r>
              <w:rPr>
                <w:rFonts w:ascii="宋体" w:eastAsia="宋体" w:hAnsi="宋体" w:cs="宋体" w:hint="eastAsia"/>
                <w:szCs w:val="21"/>
              </w:rPr>
              <w:t>虐</w:t>
            </w:r>
            <w:proofErr w:type="gramEnd"/>
            <w:r>
              <w:rPr>
                <w:rFonts w:ascii="宋体" w:eastAsia="宋体" w:hAnsi="宋体" w:cs="宋体" w:hint="eastAsia"/>
                <w:szCs w:val="21"/>
              </w:rPr>
              <w:t>老现象的，</w:t>
            </w:r>
            <w:r>
              <w:rPr>
                <w:rFonts w:ascii="宋体" w:eastAsia="宋体" w:hAnsi="宋体" w:cs="宋体" w:hint="eastAsia"/>
                <w:szCs w:val="21"/>
              </w:rPr>
              <w:t>要</w:t>
            </w:r>
            <w:r>
              <w:rPr>
                <w:rFonts w:ascii="宋体" w:eastAsia="宋体" w:hAnsi="宋体" w:cs="宋体" w:hint="eastAsia"/>
                <w:szCs w:val="21"/>
              </w:rPr>
              <w:t>依法处置。</w:t>
            </w:r>
          </w:p>
        </w:tc>
      </w:tr>
      <w:tr w:rsidR="00141CAA">
        <w:trPr>
          <w:trHeight w:val="120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8</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食品</w:t>
            </w:r>
            <w:r>
              <w:rPr>
                <w:rFonts w:ascii="宋体" w:eastAsia="宋体" w:hAnsi="宋体" w:cs="宋体" w:hint="eastAsia"/>
                <w:szCs w:val="21"/>
              </w:rPr>
              <w:t>管理应符合</w:t>
            </w:r>
            <w:r>
              <w:rPr>
                <w:rFonts w:ascii="宋体" w:eastAsia="宋体" w:hAnsi="宋体" w:cs="宋体" w:hint="eastAsia"/>
                <w:szCs w:val="21"/>
              </w:rPr>
              <w:t>市场监管</w:t>
            </w:r>
            <w:r>
              <w:rPr>
                <w:rFonts w:ascii="宋体" w:eastAsia="宋体" w:hAnsi="宋体" w:cs="宋体" w:hint="eastAsia"/>
                <w:szCs w:val="21"/>
              </w:rPr>
              <w:t>部门规定</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项不满足，则为不符合。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w:t>
            </w:r>
            <w:r>
              <w:rPr>
                <w:rFonts w:ascii="宋体" w:eastAsia="宋体" w:hAnsi="宋体" w:cs="宋体" w:hint="eastAsia"/>
                <w:szCs w:val="21"/>
              </w:rPr>
              <w:t>市场</w:t>
            </w:r>
            <w:r>
              <w:rPr>
                <w:rFonts w:ascii="宋体" w:eastAsia="宋体" w:hAnsi="宋体" w:cs="宋体" w:hint="eastAsia"/>
                <w:szCs w:val="21"/>
              </w:rPr>
              <w:t>监管部门意见</w:t>
            </w:r>
            <w:r>
              <w:rPr>
                <w:rFonts w:ascii="宋体" w:eastAsia="宋体" w:hAnsi="宋体" w:cs="宋体" w:hint="eastAsia"/>
                <w:szCs w:val="21"/>
              </w:rPr>
              <w:t>整治</w:t>
            </w:r>
            <w:r>
              <w:rPr>
                <w:rFonts w:ascii="宋体" w:eastAsia="宋体" w:hAnsi="宋体" w:cs="宋体" w:hint="eastAsia"/>
                <w:szCs w:val="21"/>
              </w:rPr>
              <w:t>。</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组织相关人员培训，建立食品</w:t>
            </w:r>
            <w:r>
              <w:rPr>
                <w:rFonts w:ascii="宋体" w:eastAsia="宋体" w:hAnsi="宋体" w:cs="宋体" w:hint="eastAsia"/>
                <w:szCs w:val="21"/>
              </w:rPr>
              <w:t>安全</w:t>
            </w:r>
            <w:r>
              <w:rPr>
                <w:rFonts w:ascii="宋体" w:eastAsia="宋体" w:hAnsi="宋体" w:cs="宋体" w:hint="eastAsia"/>
                <w:szCs w:val="21"/>
              </w:rPr>
              <w:t>管理制度。</w:t>
            </w:r>
          </w:p>
        </w:tc>
      </w:tr>
      <w:tr w:rsidR="00141CAA">
        <w:trPr>
          <w:trHeight w:val="119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lastRenderedPageBreak/>
              <w:t>9</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药品管理应符合</w:t>
            </w:r>
            <w:r>
              <w:rPr>
                <w:rFonts w:ascii="宋体" w:eastAsia="宋体" w:hAnsi="宋体" w:cs="宋体" w:hint="eastAsia"/>
                <w:szCs w:val="21"/>
              </w:rPr>
              <w:t>市场监管</w:t>
            </w:r>
            <w:r>
              <w:rPr>
                <w:rFonts w:ascii="宋体" w:eastAsia="宋体" w:hAnsi="宋体" w:cs="宋体" w:hint="eastAsia"/>
                <w:szCs w:val="21"/>
              </w:rPr>
              <w:t>部门规定</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项不满足，</w:t>
            </w:r>
            <w:r>
              <w:rPr>
                <w:rFonts w:ascii="宋体" w:eastAsia="宋体" w:hAnsi="宋体" w:cs="宋体" w:hint="eastAsia"/>
                <w:szCs w:val="21"/>
              </w:rPr>
              <w:t>则</w:t>
            </w:r>
            <w:r>
              <w:rPr>
                <w:rFonts w:ascii="宋体" w:eastAsia="宋体" w:hAnsi="宋体" w:cs="宋体" w:hint="eastAsia"/>
                <w:szCs w:val="21"/>
              </w:rPr>
              <w:t>为不符合。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依据市场监管</w:t>
            </w:r>
            <w:r>
              <w:rPr>
                <w:rFonts w:ascii="宋体" w:eastAsia="宋体" w:hAnsi="宋体" w:cs="宋体" w:hint="eastAsia"/>
                <w:szCs w:val="21"/>
              </w:rPr>
              <w:t>部门意见</w:t>
            </w:r>
            <w:r>
              <w:rPr>
                <w:rFonts w:ascii="宋体" w:eastAsia="宋体" w:hAnsi="宋体" w:cs="宋体" w:hint="eastAsia"/>
                <w:szCs w:val="21"/>
              </w:rPr>
              <w:t>整治</w:t>
            </w:r>
            <w:r>
              <w:rPr>
                <w:rFonts w:ascii="宋体" w:eastAsia="宋体" w:hAnsi="宋体" w:cs="宋体" w:hint="eastAsia"/>
                <w:szCs w:val="21"/>
              </w:rPr>
              <w:t>。</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组织相关人员培训，建立药品管理制度。</w:t>
            </w:r>
          </w:p>
        </w:tc>
      </w:tr>
      <w:tr w:rsidR="00141CAA">
        <w:trPr>
          <w:trHeight w:val="1535"/>
          <w:jc w:val="center"/>
        </w:trPr>
        <w:tc>
          <w:tcPr>
            <w:tcW w:w="700" w:type="dxa"/>
            <w:vAlign w:val="center"/>
          </w:tcPr>
          <w:p w:rsidR="00141CAA" w:rsidRDefault="00C01C76">
            <w:pPr>
              <w:spacing w:line="360" w:lineRule="exact"/>
              <w:jc w:val="center"/>
              <w:rPr>
                <w:rFonts w:eastAsia="宋体"/>
                <w:szCs w:val="21"/>
              </w:rPr>
            </w:pPr>
            <w:r>
              <w:rPr>
                <w:rFonts w:hint="eastAsia"/>
                <w:szCs w:val="21"/>
              </w:rPr>
              <w:t>10</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机构不设置在自然灾害易发、存在污染的地域</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项情况存在，即不符合。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有突出隐患的地区应提出迁址意见。</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养老机构要制定突发事件应对预案。</w:t>
            </w:r>
          </w:p>
        </w:tc>
      </w:tr>
      <w:tr w:rsidR="00141CAA">
        <w:trPr>
          <w:trHeight w:val="191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11</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提供</w:t>
            </w:r>
            <w:r>
              <w:rPr>
                <w:rFonts w:ascii="宋体" w:eastAsia="宋体" w:hAnsi="宋体" w:cs="宋体" w:hint="eastAsia"/>
                <w:szCs w:val="21"/>
              </w:rPr>
              <w:t>24</w:t>
            </w:r>
            <w:r>
              <w:rPr>
                <w:rFonts w:ascii="宋体" w:eastAsia="宋体" w:hAnsi="宋体" w:cs="宋体" w:hint="eastAsia"/>
                <w:szCs w:val="21"/>
              </w:rPr>
              <w:t>小时当班、值班服务，并做好记录和交接班</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提供</w:t>
            </w:r>
            <w:r>
              <w:rPr>
                <w:rFonts w:ascii="宋体" w:eastAsia="宋体" w:hAnsi="宋体" w:cs="宋体" w:hint="eastAsia"/>
                <w:szCs w:val="21"/>
              </w:rPr>
              <w:t>24</w:t>
            </w:r>
            <w:r>
              <w:rPr>
                <w:rFonts w:ascii="宋体" w:eastAsia="宋体" w:hAnsi="宋体" w:cs="宋体" w:hint="eastAsia"/>
                <w:szCs w:val="21"/>
              </w:rPr>
              <w:t>小时服务且有相关记录，为符合，无当班、值班记录为部分符合，二者皆无为不符合。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养老机构建立</w:t>
            </w:r>
            <w:r>
              <w:rPr>
                <w:rFonts w:ascii="宋体" w:eastAsia="宋体" w:hAnsi="宋体" w:cs="宋体" w:hint="eastAsia"/>
                <w:szCs w:val="21"/>
              </w:rPr>
              <w:t>24</w:t>
            </w:r>
            <w:r>
              <w:rPr>
                <w:rFonts w:ascii="宋体" w:eastAsia="宋体" w:hAnsi="宋体" w:cs="宋体" w:hint="eastAsia"/>
                <w:szCs w:val="21"/>
              </w:rPr>
              <w:t>小时值班、当班服务制度并做好记录。</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民政部门要促进养老机构业务交流，规范养老机构当班、值班、交接班工作。</w:t>
            </w:r>
          </w:p>
        </w:tc>
      </w:tr>
      <w:tr w:rsidR="00141CAA">
        <w:trPr>
          <w:trHeight w:val="84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12</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建立食品留样备查制度，留样时间不少于</w:t>
            </w:r>
            <w:r>
              <w:rPr>
                <w:rFonts w:ascii="宋体" w:eastAsia="宋体" w:hAnsi="宋体" w:cs="宋体" w:hint="eastAsia"/>
                <w:szCs w:val="21"/>
              </w:rPr>
              <w:t>48</w:t>
            </w:r>
            <w:r>
              <w:rPr>
                <w:rFonts w:ascii="宋体" w:eastAsia="宋体" w:hAnsi="宋体" w:cs="宋体" w:hint="eastAsia"/>
                <w:szCs w:val="21"/>
              </w:rPr>
              <w:t>小时</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如有餐饮服务，有</w:t>
            </w:r>
            <w:r>
              <w:rPr>
                <w:rFonts w:ascii="宋体" w:eastAsia="宋体" w:hAnsi="宋体" w:cs="宋体" w:hint="eastAsia"/>
                <w:szCs w:val="21"/>
              </w:rPr>
              <w:t>1</w:t>
            </w:r>
            <w:r>
              <w:rPr>
                <w:rFonts w:ascii="宋体" w:eastAsia="宋体" w:hAnsi="宋体" w:cs="宋体" w:hint="eastAsia"/>
                <w:szCs w:val="21"/>
              </w:rPr>
              <w:t>项未做到即为不符合。</w:t>
            </w:r>
          </w:p>
        </w:tc>
        <w:tc>
          <w:tcPr>
            <w:tcW w:w="3080" w:type="dxa"/>
            <w:vMerge w:val="restart"/>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按照食品安全管理相关标准和要求建立相应制度，规范膳食服务行为。</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开展膳食服务人员培训，熟悉并实施食品安全管理制度。</w:t>
            </w:r>
          </w:p>
        </w:tc>
      </w:tr>
      <w:tr w:rsidR="00141CAA">
        <w:trPr>
          <w:trHeight w:val="164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13</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做好餐（饮）具消毒，餐厨垃圾每日处理，餐（饮）具、厨房和就餐区卫生应符合国家相关规定</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如有餐饮服务，有</w:t>
            </w:r>
            <w:r>
              <w:rPr>
                <w:rFonts w:ascii="宋体" w:eastAsia="宋体" w:hAnsi="宋体" w:cs="宋体" w:hint="eastAsia"/>
                <w:szCs w:val="21"/>
              </w:rPr>
              <w:t>1</w:t>
            </w:r>
            <w:r>
              <w:rPr>
                <w:rFonts w:ascii="宋体" w:eastAsia="宋体" w:hAnsi="宋体" w:cs="宋体" w:hint="eastAsia"/>
                <w:szCs w:val="21"/>
              </w:rPr>
              <w:t>项未做到即为不符合。</w:t>
            </w:r>
          </w:p>
        </w:tc>
        <w:tc>
          <w:tcPr>
            <w:tcW w:w="3080" w:type="dxa"/>
            <w:vMerge/>
            <w:vAlign w:val="center"/>
          </w:tcPr>
          <w:p w:rsidR="00141CAA" w:rsidRDefault="00141CAA">
            <w:pPr>
              <w:spacing w:line="360" w:lineRule="exact"/>
              <w:rPr>
                <w:rFonts w:ascii="宋体" w:eastAsia="宋体" w:hAnsi="宋体" w:cs="宋体"/>
                <w:szCs w:val="21"/>
              </w:rPr>
            </w:pPr>
          </w:p>
        </w:tc>
      </w:tr>
      <w:tr w:rsidR="00141CAA">
        <w:trPr>
          <w:trHeight w:val="94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14</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做到生与熟、成品与半成品分开制作、存储</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如有餐饮服务，有</w:t>
            </w:r>
            <w:r>
              <w:rPr>
                <w:rFonts w:ascii="宋体" w:eastAsia="宋体" w:hAnsi="宋体" w:cs="宋体" w:hint="eastAsia"/>
                <w:szCs w:val="21"/>
              </w:rPr>
              <w:t>1</w:t>
            </w:r>
            <w:r>
              <w:rPr>
                <w:rFonts w:ascii="宋体" w:eastAsia="宋体" w:hAnsi="宋体" w:cs="宋体" w:hint="eastAsia"/>
                <w:szCs w:val="21"/>
              </w:rPr>
              <w:t>项未做到即为不符合。</w:t>
            </w:r>
          </w:p>
        </w:tc>
        <w:tc>
          <w:tcPr>
            <w:tcW w:w="3080" w:type="dxa"/>
            <w:vMerge/>
            <w:vAlign w:val="center"/>
          </w:tcPr>
          <w:p w:rsidR="00141CAA" w:rsidRDefault="00141CAA">
            <w:pPr>
              <w:spacing w:line="360" w:lineRule="exact"/>
              <w:rPr>
                <w:rFonts w:ascii="宋体" w:eastAsia="宋体" w:hAnsi="宋体" w:cs="宋体"/>
                <w:szCs w:val="21"/>
              </w:rPr>
            </w:pPr>
          </w:p>
        </w:tc>
      </w:tr>
      <w:tr w:rsidR="00141CAA">
        <w:trPr>
          <w:trHeight w:val="91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15</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院内医疗机构管理服务符合</w:t>
            </w:r>
            <w:r>
              <w:rPr>
                <w:rFonts w:ascii="宋体" w:eastAsia="宋体" w:hAnsi="宋体" w:cs="宋体" w:hint="eastAsia"/>
                <w:szCs w:val="21"/>
              </w:rPr>
              <w:t>卫生健康</w:t>
            </w:r>
            <w:r>
              <w:rPr>
                <w:rFonts w:ascii="宋体" w:eastAsia="宋体" w:hAnsi="宋体" w:cs="宋体" w:hint="eastAsia"/>
                <w:szCs w:val="21"/>
              </w:rPr>
              <w:t>部门规定</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如有院内医疗机构，且符合规定，则为符合。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w:t>
            </w:r>
            <w:r>
              <w:rPr>
                <w:rFonts w:ascii="宋体" w:eastAsia="宋体" w:hAnsi="宋体" w:cs="宋体" w:hint="eastAsia"/>
                <w:szCs w:val="21"/>
              </w:rPr>
              <w:t>卫生健康</w:t>
            </w:r>
            <w:r>
              <w:rPr>
                <w:rFonts w:ascii="宋体" w:eastAsia="宋体" w:hAnsi="宋体" w:cs="宋体" w:hint="eastAsia"/>
                <w:szCs w:val="21"/>
              </w:rPr>
              <w:t>部门意见</w:t>
            </w:r>
            <w:r>
              <w:rPr>
                <w:rFonts w:ascii="宋体" w:eastAsia="宋体" w:hAnsi="宋体" w:cs="宋体" w:hint="eastAsia"/>
                <w:szCs w:val="21"/>
              </w:rPr>
              <w:t>整治</w:t>
            </w:r>
            <w:r>
              <w:rPr>
                <w:rFonts w:ascii="宋体" w:eastAsia="宋体" w:hAnsi="宋体" w:cs="宋体" w:hint="eastAsia"/>
                <w:szCs w:val="21"/>
              </w:rPr>
              <w:t>。</w:t>
            </w:r>
          </w:p>
        </w:tc>
      </w:tr>
      <w:tr w:rsidR="00141CAA">
        <w:trPr>
          <w:trHeight w:val="86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16</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有传染病预防措施</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应有制度、工作流程，有</w:t>
            </w:r>
            <w:r>
              <w:rPr>
                <w:rFonts w:ascii="宋体" w:eastAsia="宋体" w:hAnsi="宋体" w:cs="宋体" w:hint="eastAsia"/>
                <w:szCs w:val="21"/>
              </w:rPr>
              <w:t>1</w:t>
            </w:r>
            <w:r>
              <w:rPr>
                <w:rFonts w:ascii="宋体" w:eastAsia="宋体" w:hAnsi="宋体" w:cs="宋体" w:hint="eastAsia"/>
                <w:szCs w:val="21"/>
              </w:rPr>
              <w:t>项做不到，即为不符合。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在卫生防疫部门指导下建立养老机构传染病预防制度。</w:t>
            </w:r>
          </w:p>
        </w:tc>
      </w:tr>
      <w:tr w:rsidR="00141CAA">
        <w:trPr>
          <w:trHeight w:val="153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17</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制定消防安全、特种设备设施安全、突发事件等相关管理制度、预警机制及应急预案</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项未做到即为不符合；如果没有特种设备，则不对特种设备管理做要求。</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在应急、市场监管部门指导下制定。</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民政部</w:t>
            </w:r>
            <w:proofErr w:type="gramStart"/>
            <w:r>
              <w:rPr>
                <w:rFonts w:ascii="宋体" w:eastAsia="宋体" w:hAnsi="宋体" w:cs="宋体" w:hint="eastAsia"/>
                <w:szCs w:val="21"/>
              </w:rPr>
              <w:t>门促进</w:t>
            </w:r>
            <w:proofErr w:type="gramEnd"/>
            <w:r>
              <w:rPr>
                <w:rFonts w:ascii="宋体" w:eastAsia="宋体" w:hAnsi="宋体" w:cs="宋体" w:hint="eastAsia"/>
                <w:szCs w:val="21"/>
              </w:rPr>
              <w:t>行业交流，推广优秀经验。</w:t>
            </w:r>
          </w:p>
        </w:tc>
      </w:tr>
      <w:tr w:rsidR="00141CAA">
        <w:trPr>
          <w:trHeight w:val="225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18</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人员住宿和主要活动场所严禁使用易燃可燃装饰装修材料，严禁采用夹芯材料燃烧性能低于</w:t>
            </w:r>
            <w:r>
              <w:rPr>
                <w:rFonts w:ascii="宋体" w:eastAsia="宋体" w:hAnsi="宋体" w:cs="宋体" w:hint="eastAsia"/>
                <w:szCs w:val="21"/>
              </w:rPr>
              <w:t>A</w:t>
            </w:r>
            <w:r>
              <w:rPr>
                <w:rFonts w:ascii="宋体" w:eastAsia="宋体" w:hAnsi="宋体" w:cs="宋体" w:hint="eastAsia"/>
                <w:szCs w:val="21"/>
              </w:rPr>
              <w:t>级的彩钢板搭建有人居住或者活动的建筑</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立即停止该场所用于人员住宿和活动，或改建。</w:t>
            </w:r>
          </w:p>
        </w:tc>
      </w:tr>
      <w:tr w:rsidR="00141CAA">
        <w:trPr>
          <w:trHeight w:val="212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lastRenderedPageBreak/>
              <w:t>19</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对不需要设置自动消防系统的建筑，应当加强物防、技防措施，在人员住宿和主要活动场所安装独立式感烟火灾探测报警器和简易喷淋装置，配备应急照明和灭火器材</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各项中有任何</w:t>
            </w:r>
            <w:r>
              <w:rPr>
                <w:rFonts w:ascii="宋体" w:eastAsia="宋体" w:hAnsi="宋体" w:cs="宋体" w:hint="eastAsia"/>
                <w:szCs w:val="21"/>
              </w:rPr>
              <w:t>1</w:t>
            </w:r>
            <w:r>
              <w:rPr>
                <w:rFonts w:ascii="宋体" w:eastAsia="宋体" w:hAnsi="宋体" w:cs="宋体" w:hint="eastAsia"/>
                <w:szCs w:val="21"/>
              </w:rPr>
              <w:t>点达不到，则该项不符合</w:t>
            </w:r>
            <w:r>
              <w:rPr>
                <w:rStyle w:val="a3"/>
                <w:rFonts w:ascii="宋体" w:eastAsia="宋体" w:hAnsi="宋体" w:cs="宋体" w:hint="eastAsia"/>
              </w:rPr>
              <w:t>；设置自动消防系统的养老院则查看是否在相关场所对应设置相应设备。</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依据应急部门意见整治。</w:t>
            </w:r>
          </w:p>
        </w:tc>
      </w:tr>
      <w:tr w:rsidR="00141CAA">
        <w:trPr>
          <w:trHeight w:val="255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20</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每月至少组织一次防火检查，每日防火巡查，夜间防火巡查不少于两次，并做好记录</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建立每日巡查、每月防火检查制度。</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在全国养老机构业务管理系统上定期填报检查记录。</w:t>
            </w:r>
          </w:p>
          <w:p w:rsidR="00141CAA" w:rsidRDefault="00C01C76">
            <w:pPr>
              <w:spacing w:line="36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民政部门应定期检查养老机构的检查巡查记录，了解养老机构检查巡查情况。</w:t>
            </w:r>
          </w:p>
        </w:tc>
      </w:tr>
      <w:tr w:rsidR="00141CAA">
        <w:trPr>
          <w:trHeight w:val="181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21</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加强消防设施设备运行和维护保养，每年至少全面检查一次，参加区域联防组织，实行联防联治联控</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各项中有任何</w:t>
            </w:r>
            <w:r>
              <w:rPr>
                <w:rFonts w:ascii="宋体" w:eastAsia="宋体" w:hAnsi="宋体" w:cs="宋体" w:hint="eastAsia"/>
                <w:szCs w:val="21"/>
              </w:rPr>
              <w:t>1</w:t>
            </w:r>
            <w:r>
              <w:rPr>
                <w:rFonts w:ascii="宋体" w:eastAsia="宋体" w:hAnsi="宋体" w:cs="宋体" w:hint="eastAsia"/>
                <w:szCs w:val="21"/>
              </w:rPr>
              <w:t>点达不到，则不符合。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在应急部门指导下建立检查消防设施设备运行和维护保障制度。</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积极参加应急部门组织的</w:t>
            </w:r>
            <w:r>
              <w:rPr>
                <w:rFonts w:ascii="宋体" w:eastAsia="宋体" w:hAnsi="宋体" w:cs="宋体" w:hint="eastAsia"/>
                <w:szCs w:val="21"/>
              </w:rPr>
              <w:t>联防联治联控</w:t>
            </w:r>
            <w:r>
              <w:rPr>
                <w:rFonts w:ascii="宋体" w:eastAsia="宋体" w:hAnsi="宋体" w:cs="宋体" w:hint="eastAsia"/>
                <w:szCs w:val="21"/>
              </w:rPr>
              <w:t>活动。</w:t>
            </w:r>
          </w:p>
        </w:tc>
      </w:tr>
      <w:tr w:rsidR="00141CAA">
        <w:trPr>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22</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保持安全出口、疏散通道、消防车通道畅通，应急照明、安全疏散指示标志完好。保证常闭式防火门处于关闭状态</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依据应急部门意见整治。</w:t>
            </w:r>
          </w:p>
        </w:tc>
      </w:tr>
      <w:tr w:rsidR="00141CAA">
        <w:trPr>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23</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制定消防演练、应急疏散和灭火预案，每半年至少演练一次。每半年至少开展一次消防安全教育培训活动</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在应急部门指导下制定预案、开展演练和培训。</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养老机构每半年至少演练一次，每半年至少开展一次消防安全教育培训活动，不断总结经验。</w:t>
            </w:r>
          </w:p>
          <w:p w:rsidR="00141CAA" w:rsidRDefault="00C01C76">
            <w:pPr>
              <w:spacing w:line="36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养老机构在全国养老机构业务管理系统上及时填报相关活动记录。</w:t>
            </w:r>
          </w:p>
          <w:p w:rsidR="00141CAA" w:rsidRDefault="00C01C76">
            <w:pPr>
              <w:spacing w:line="360" w:lineRule="exac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民政部门应定期检查养老机构演练、培训活动情况。</w:t>
            </w:r>
          </w:p>
        </w:tc>
      </w:tr>
      <w:tr w:rsidR="00141CAA">
        <w:trPr>
          <w:trHeight w:val="75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24</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设立吸烟室，人员住宿和公共场所禁止吸烟</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设立公共吸烟室。</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杜绝老年人在住宿房间吸烟。</w:t>
            </w:r>
          </w:p>
        </w:tc>
      </w:tr>
      <w:tr w:rsidR="00141CAA">
        <w:trPr>
          <w:trHeight w:val="113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25</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定期组织对电器产品及其线路、管路进行维护保养和检测，及时整改电气火灾隐患</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在相关专业人员指导下定期组织维护保养和检测。</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及时整改隐患。</w:t>
            </w:r>
          </w:p>
        </w:tc>
      </w:tr>
      <w:tr w:rsidR="00141CAA">
        <w:trPr>
          <w:trHeight w:val="78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lastRenderedPageBreak/>
              <w:t>26</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燃气安全应符合国家相关规定，设置可燃气体报警装置</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Merge w:val="restart"/>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依据燃气行政主管部门意见整治。</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使用人员应接受相应安全使用培训合格。</w:t>
            </w:r>
          </w:p>
        </w:tc>
      </w:tr>
      <w:tr w:rsidR="00141CAA">
        <w:trPr>
          <w:trHeight w:val="51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27</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定期维护保养燃气设施设备</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Merge/>
            <w:vAlign w:val="center"/>
          </w:tcPr>
          <w:p w:rsidR="00141CAA" w:rsidRDefault="00141CAA">
            <w:pPr>
              <w:spacing w:line="360" w:lineRule="exact"/>
              <w:rPr>
                <w:rFonts w:ascii="宋体" w:eastAsia="宋体" w:hAnsi="宋体" w:cs="宋体"/>
                <w:szCs w:val="21"/>
              </w:rPr>
            </w:pPr>
          </w:p>
        </w:tc>
      </w:tr>
      <w:tr w:rsidR="00141CAA">
        <w:trPr>
          <w:trHeight w:val="152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28</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燃气设施使用正确，无私自拆、移、改动燃气装置，无私自使用燃气热水器、取暖器和其他燃气器具等</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Merge/>
            <w:vAlign w:val="center"/>
          </w:tcPr>
          <w:p w:rsidR="00141CAA" w:rsidRDefault="00141CAA">
            <w:pPr>
              <w:spacing w:line="360" w:lineRule="exact"/>
              <w:rPr>
                <w:rFonts w:ascii="宋体" w:eastAsia="宋体" w:hAnsi="宋体" w:cs="宋体"/>
                <w:szCs w:val="21"/>
              </w:rPr>
            </w:pPr>
          </w:p>
        </w:tc>
      </w:tr>
      <w:tr w:rsidR="00141CAA">
        <w:trPr>
          <w:trHeight w:val="81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29</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燃气设施清洁干净卫生，周围无可燃物品和其他杂物堆放</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Merge/>
            <w:vAlign w:val="center"/>
          </w:tcPr>
          <w:p w:rsidR="00141CAA" w:rsidRDefault="00141CAA">
            <w:pPr>
              <w:spacing w:line="360" w:lineRule="exact"/>
              <w:rPr>
                <w:rFonts w:ascii="宋体" w:eastAsia="宋体" w:hAnsi="宋体" w:cs="宋体"/>
                <w:szCs w:val="21"/>
              </w:rPr>
            </w:pPr>
          </w:p>
        </w:tc>
      </w:tr>
      <w:tr w:rsidR="00141CAA">
        <w:trPr>
          <w:trHeight w:val="152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30</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购置、</w:t>
            </w:r>
            <w:r>
              <w:rPr>
                <w:rFonts w:ascii="宋体" w:eastAsia="宋体" w:hAnsi="宋体" w:cs="宋体" w:hint="eastAsia"/>
                <w:szCs w:val="21"/>
              </w:rPr>
              <w:t>安装、修理、改造、</w:t>
            </w:r>
            <w:r>
              <w:rPr>
                <w:rFonts w:ascii="宋体" w:eastAsia="宋体" w:hAnsi="宋体" w:cs="宋体" w:hint="eastAsia"/>
                <w:szCs w:val="21"/>
              </w:rPr>
              <w:t>使用和更换电梯、锅炉、压力容器（含气瓶）、压力管道等特种设备，应符合</w:t>
            </w:r>
            <w:r>
              <w:rPr>
                <w:rFonts w:ascii="宋体" w:eastAsia="宋体" w:hAnsi="宋体" w:cs="宋体" w:hint="eastAsia"/>
                <w:szCs w:val="21"/>
              </w:rPr>
              <w:t>监督管理</w:t>
            </w:r>
            <w:r>
              <w:rPr>
                <w:rFonts w:ascii="宋体" w:eastAsia="宋体" w:hAnsi="宋体" w:cs="宋体" w:hint="eastAsia"/>
                <w:szCs w:val="21"/>
              </w:rPr>
              <w:t>部门的相关规定</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如有，有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依据监督管理部门意见整治。</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使用人员应接受相应安全使用培训合格。</w:t>
            </w:r>
          </w:p>
        </w:tc>
      </w:tr>
      <w:tr w:rsidR="00141CAA">
        <w:trPr>
          <w:trHeight w:val="800"/>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31</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建立出入、探视、请销假等制度，防止老年人走失</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1</w:t>
            </w:r>
            <w:r>
              <w:rPr>
                <w:rFonts w:ascii="宋体" w:eastAsia="宋体" w:hAnsi="宋体" w:cs="宋体" w:hint="eastAsia"/>
                <w:szCs w:val="21"/>
              </w:rPr>
              <w:t>项未做到就不符合。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建立出入、探视、请销假等制度。</w:t>
            </w:r>
          </w:p>
        </w:tc>
      </w:tr>
      <w:tr w:rsidR="00141CAA">
        <w:trPr>
          <w:trHeight w:val="2985"/>
          <w:jc w:val="center"/>
        </w:trPr>
        <w:tc>
          <w:tcPr>
            <w:tcW w:w="700" w:type="dxa"/>
            <w:vAlign w:val="center"/>
          </w:tcPr>
          <w:p w:rsidR="00141CAA" w:rsidRDefault="00C01C76">
            <w:pPr>
              <w:spacing w:line="360" w:lineRule="exact"/>
              <w:jc w:val="center"/>
              <w:rPr>
                <w:rFonts w:eastAsia="宋体"/>
                <w:b/>
                <w:bCs/>
                <w:szCs w:val="21"/>
              </w:rPr>
            </w:pPr>
            <w:r>
              <w:rPr>
                <w:rFonts w:hint="eastAsia"/>
                <w:b/>
                <w:bCs/>
                <w:szCs w:val="21"/>
              </w:rPr>
              <w:t>32</w:t>
            </w:r>
          </w:p>
        </w:tc>
        <w:tc>
          <w:tcPr>
            <w:tcW w:w="296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建立突发事件处理的应急预案，对自伤、伤人、跌倒、坠床、噎食、误吸、走失、烫伤、食物中毒等事件有明确应急处理流程和报告制度</w:t>
            </w:r>
          </w:p>
        </w:tc>
        <w:tc>
          <w:tcPr>
            <w:tcW w:w="3315"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有应急预案、应急处置流程、报告制度，缺少</w:t>
            </w:r>
            <w:r>
              <w:rPr>
                <w:rFonts w:ascii="宋体" w:eastAsia="宋体" w:hAnsi="宋体" w:cs="宋体" w:hint="eastAsia"/>
                <w:szCs w:val="21"/>
              </w:rPr>
              <w:t>1</w:t>
            </w:r>
            <w:r>
              <w:rPr>
                <w:rFonts w:ascii="宋体" w:eastAsia="宋体" w:hAnsi="宋体" w:cs="宋体" w:hint="eastAsia"/>
                <w:szCs w:val="21"/>
              </w:rPr>
              <w:t>项即为部分符合。</w:t>
            </w:r>
          </w:p>
        </w:tc>
        <w:tc>
          <w:tcPr>
            <w:tcW w:w="3080" w:type="dxa"/>
            <w:vAlign w:val="center"/>
          </w:tcPr>
          <w:p w:rsidR="00141CAA" w:rsidRDefault="00C01C76">
            <w:pPr>
              <w:spacing w:line="36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养老机构建立自伤、伤人、跌倒、坠床、噎食、误吸、走失、烫伤、食物中毒等突发事件的应急处理流程和报告制度。</w:t>
            </w:r>
          </w:p>
          <w:p w:rsidR="00141CAA" w:rsidRDefault="00C01C76">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养老机构加强人员培训，提高处置能力。</w:t>
            </w:r>
          </w:p>
          <w:p w:rsidR="00141CAA" w:rsidRDefault="00C01C76">
            <w:pPr>
              <w:spacing w:line="36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民政部门应促进行业交流，推广典型做法和制度。</w:t>
            </w:r>
          </w:p>
        </w:tc>
      </w:tr>
    </w:tbl>
    <w:p w:rsidR="00141CAA" w:rsidRDefault="00C01C76">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w:t>
      </w:r>
    </w:p>
    <w:p w:rsidR="00141CAA" w:rsidRDefault="00C01C76">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以上指标均来自《养老院服务质量大检查指标》。</w:t>
      </w:r>
    </w:p>
    <w:p w:rsidR="00141CAA" w:rsidRDefault="00C01C76">
      <w:pPr>
        <w:spacing w:line="420" w:lineRule="exact"/>
        <w:rPr>
          <w:rFonts w:ascii="仿宋_GB2312" w:eastAsia="仿宋_GB2312" w:hAnsi="仿宋_GB2312" w:cs="仿宋_GB2312"/>
          <w:sz w:val="24"/>
          <w:szCs w:val="24"/>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各地可根据本行政区内养老机构风险隐患实际补充其他检查指标。</w:t>
      </w:r>
    </w:p>
    <w:p w:rsidR="00141CAA" w:rsidRDefault="00141CAA">
      <w:pPr>
        <w:spacing w:line="440" w:lineRule="exact"/>
        <w:rPr>
          <w:rFonts w:ascii="宋体" w:hAnsi="宋体" w:cs="宋体" w:hint="eastAsia"/>
          <w:sz w:val="28"/>
          <w:szCs w:val="28"/>
        </w:rPr>
        <w:sectPr w:rsidR="00141CAA">
          <w:pgSz w:w="11906" w:h="16838"/>
          <w:pgMar w:top="1440" w:right="1587" w:bottom="1440" w:left="1587" w:header="851" w:footer="992" w:gutter="0"/>
          <w:pgNumType w:fmt="numberInDash"/>
          <w:cols w:space="720"/>
          <w:docGrid w:type="lines" w:linePitch="323"/>
        </w:sectPr>
      </w:pPr>
      <w:bookmarkStart w:id="0" w:name="_GoBack"/>
      <w:bookmarkEnd w:id="0"/>
    </w:p>
    <w:p w:rsidR="00141CAA" w:rsidRPr="00C01C76" w:rsidRDefault="00141CAA" w:rsidP="00C01C76">
      <w:pPr>
        <w:spacing w:line="580" w:lineRule="exact"/>
      </w:pPr>
    </w:p>
    <w:sectPr w:rsidR="00141CAA" w:rsidRPr="00C01C76">
      <w:pgSz w:w="11906" w:h="16838"/>
      <w:pgMar w:top="1984"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E6B7D"/>
    <w:rsid w:val="00141CAA"/>
    <w:rsid w:val="00C01C76"/>
    <w:rsid w:val="223E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74D92-A637-4D31-A5C8-8454FBFE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2650</Characters>
  <Application>Microsoft Office Word</Application>
  <DocSecurity>0</DocSecurity>
  <Lines>22</Lines>
  <Paragraphs>6</Paragraphs>
  <ScaleCrop>false</ScaleCrop>
  <Company>USER</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2019-05-13T06:03:00Z</dcterms:created>
  <dcterms:modified xsi:type="dcterms:W3CDTF">2019-05-13T06:59:00Z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